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36"/>
          <w:szCs w:val="36"/>
        </w:rPr>
        <w:t xml:space="preserve">COSHH Risk Assessment</w:t>
      </w:r>
    </w:p>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p>
      <w:pPr>
        <w:keepNext/>
        <w:spacing w:after="80"/>
      </w:pPr>
      <w:r>
        <w:rPr>
          <w:sz w:val="20"/>
          <w:szCs w:val="20"/>
        </w:rPr>
        <w:t xml:space="preserve">Complete one assessment per substance or product. Take the hazard, first aid, storage, exposure-control and disposal details from the supplier’s safety data sheet (SDS).</w:t>
      </w:r>
    </w:p>
    <w:p>
      <w:pPr>
        <w:pStyle w:val="Heading1"/>
        <w:keepNext/>
        <w:spacing w:after="100" w:before="240"/>
      </w:pPr>
      <w:r>
        <w:rPr>
          <w:b/>
          <w:bCs/>
          <w:sz w:val="26"/>
          <w:szCs w:val="26"/>
        </w:rPr>
        <w:t xml:space="preserve">1. Document control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Company name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Site / location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Task or process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Assessment reference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Date assessed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Assessed by (name, role)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Review date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2. Substance details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Product name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Supplier</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Safety data sheet date / version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Hazard classification and pictograms (SDS section 2)</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Hazard statements (H-codes)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Workplace exposure limit, if any (SDS section 8)</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Form (liquid, dust, vapour, fume, gas, mist)</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3. Use and exposure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How the substance is used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Quantity used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How often and for how long</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Who could be exposed (including others nearby)</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Routes of exposure (breathing in, skin, eyes, swallowing)</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4. Control measures</w:t>
      </w:r>
    </w:p>
    <w:p>
      <w:pPr>
        <w:keepNext/>
        <w:spacing w:after="80"/>
      </w:pPr>
      <w:r>
        <w:rPr>
          <w:sz w:val="20"/>
          <w:szCs w:val="20"/>
        </w:rPr>
        <w:t xml:space="preserve">Work down the list. Use PPE only for the risk that remains after the higher controls.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4806"/>
        <w:gridCol w:w="2200"/>
      </w:tblGrid>
      <w:tr>
        <w:trPr>
          <w:cantSplit/>
          <w:tblHeader/>
        </w:trPr>
        <w:tc>
          <w:tcPr>
            <w:tcW w:type="dxa" w:w="2900"/>
            <w:shd w:fill="D9D9D9" w:color="auto" w:val="clear"/>
            <w:tcMar>
              <w:top w:type="dxa" w:w="60"/>
              <w:left w:type="dxa" w:w="80"/>
              <w:bottom w:type="dxa" w:w="60"/>
              <w:right w:type="dxa" w:w="80"/>
            </w:tcMar>
          </w:tcPr>
          <w:p>
            <w:pPr>
              <w:keepNext/>
              <w:jc w:val="left"/>
            </w:pPr>
            <w:r>
              <w:rPr>
                <w:b/>
                <w:bCs/>
                <w:sz w:val="18"/>
                <w:szCs w:val="18"/>
              </w:rPr>
              <w:t xml:space="preserve">Control</w:t>
            </w:r>
          </w:p>
        </w:tc>
        <w:tc>
          <w:tcPr>
            <w:tcW w:type="dxa" w:w="4806"/>
            <w:shd w:fill="D9D9D9" w:color="auto" w:val="clear"/>
            <w:tcMar>
              <w:top w:type="dxa" w:w="60"/>
              <w:left w:type="dxa" w:w="80"/>
              <w:bottom w:type="dxa" w:w="60"/>
              <w:right w:type="dxa" w:w="80"/>
            </w:tcMar>
          </w:tcPr>
          <w:p>
            <w:pPr>
              <w:keepNext/>
              <w:jc w:val="left"/>
            </w:pPr>
            <w:r>
              <w:rPr>
                <w:b/>
                <w:bCs/>
                <w:sz w:val="18"/>
                <w:szCs w:val="18"/>
              </w:rPr>
              <w:t xml:space="preserve">Measures in place</w:t>
            </w:r>
          </w:p>
        </w:tc>
        <w:tc>
          <w:tcPr>
            <w:tcW w:type="dxa" w:w="2200"/>
            <w:shd w:fill="D9D9D9" w:color="auto" w:val="clear"/>
            <w:tcMar>
              <w:top w:type="dxa" w:w="60"/>
              <w:left w:type="dxa" w:w="80"/>
              <w:bottom w:type="dxa" w:w="60"/>
              <w:right w:type="dxa" w:w="80"/>
            </w:tcMar>
          </w:tcPr>
          <w:p>
            <w:pPr>
              <w:keepNext/>
              <w:jc w:val="left"/>
            </w:pPr>
            <w:r>
              <w:rPr>
                <w:b/>
                <w:bCs/>
                <w:sz w:val="18"/>
                <w:szCs w:val="18"/>
              </w:rPr>
              <w:t xml:space="preserve">Checked by</w:t>
            </w:r>
          </w:p>
        </w:tc>
      </w:tr>
      <w:tr>
        <w:trPr>
          <w:cantSplit/>
          <w:tblHeader w:val="false"/>
        </w:trPr>
        <w:tc>
          <w:tcPr>
            <w:tcW w:type="dxa" w:w="2900"/>
            <w:tcMar>
              <w:top w:type="dxa" w:w="60"/>
              <w:left w:type="dxa" w:w="80"/>
              <w:bottom w:type="dxa" w:w="60"/>
              <w:right w:type="dxa" w:w="80"/>
            </w:tcMar>
          </w:tcPr>
          <w:p>
            <w:pPr>
              <w:keepNext/>
              <w:jc w:val="left"/>
            </w:pPr>
            <w:r>
              <w:rPr>
                <w:b w:val="false"/>
                <w:bCs w:val="false"/>
                <w:sz w:val="18"/>
                <w:szCs w:val="18"/>
              </w:rPr>
              <w:t xml:space="preserve">Eliminate — can the task be done without it?</w:t>
            </w:r>
          </w:p>
        </w:tc>
        <w:tc>
          <w:tcPr>
            <w:tcW w:type="dxa" w:w="4806"/>
            <w:tcMar>
              <w:top w:type="dxa" w:w="60"/>
              <w:left w:type="dxa" w:w="80"/>
              <w:bottom w:type="dxa" w:w="60"/>
              <w:right w:type="dxa" w:w="80"/>
            </w:tcMar>
          </w:tcPr>
          <w:p>
            <w:pPr>
              <w:keepNext/>
              <w:jc w:val="left"/>
            </w:pPr>
            <w:r>
              <w:rPr>
                <w:b w:val="false"/>
                <w:bCs w:val="false"/>
                <w:sz w:val="18"/>
                <w:szCs w:val="18"/>
              </w:rPr>
              <w:t xml:space="preserve"/>
            </w:r>
          </w:p>
        </w:tc>
        <w:tc>
          <w:tcPr>
            <w:tcW w:type="dxa" w:w="22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900"/>
            <w:tcMar>
              <w:top w:type="dxa" w:w="60"/>
              <w:left w:type="dxa" w:w="80"/>
              <w:bottom w:type="dxa" w:w="60"/>
              <w:right w:type="dxa" w:w="80"/>
            </w:tcMar>
          </w:tcPr>
          <w:p>
            <w:pPr>
              <w:keepNext/>
              <w:jc w:val="left"/>
            </w:pPr>
            <w:r>
              <w:rPr>
                <w:b w:val="false"/>
                <w:bCs w:val="false"/>
                <w:sz w:val="18"/>
                <w:szCs w:val="18"/>
              </w:rPr>
              <w:t xml:space="preserve">Substitute — a less hazardous product or form?</w:t>
            </w:r>
          </w:p>
        </w:tc>
        <w:tc>
          <w:tcPr>
            <w:tcW w:type="dxa" w:w="4806"/>
            <w:tcMar>
              <w:top w:type="dxa" w:w="60"/>
              <w:left w:type="dxa" w:w="80"/>
              <w:bottom w:type="dxa" w:w="60"/>
              <w:right w:type="dxa" w:w="80"/>
            </w:tcMar>
          </w:tcPr>
          <w:p>
            <w:pPr>
              <w:keepNext/>
              <w:jc w:val="left"/>
            </w:pPr>
            <w:r>
              <w:rPr>
                <w:b w:val="false"/>
                <w:bCs w:val="false"/>
                <w:sz w:val="18"/>
                <w:szCs w:val="18"/>
              </w:rPr>
              <w:t xml:space="preserve"/>
            </w:r>
          </w:p>
        </w:tc>
        <w:tc>
          <w:tcPr>
            <w:tcW w:type="dxa" w:w="22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900"/>
            <w:tcMar>
              <w:top w:type="dxa" w:w="60"/>
              <w:left w:type="dxa" w:w="80"/>
              <w:bottom w:type="dxa" w:w="60"/>
              <w:right w:type="dxa" w:w="80"/>
            </w:tcMar>
          </w:tcPr>
          <w:p>
            <w:pPr>
              <w:keepNext/>
              <w:jc w:val="left"/>
            </w:pPr>
            <w:r>
              <w:rPr>
                <w:b w:val="false"/>
                <w:bCs w:val="false"/>
                <w:sz w:val="18"/>
                <w:szCs w:val="18"/>
              </w:rPr>
              <w:t xml:space="preserve">Engineering — local exhaust ventilation, enclosure, wet methods</w:t>
            </w:r>
          </w:p>
        </w:tc>
        <w:tc>
          <w:tcPr>
            <w:tcW w:type="dxa" w:w="4806"/>
            <w:tcMar>
              <w:top w:type="dxa" w:w="60"/>
              <w:left w:type="dxa" w:w="80"/>
              <w:bottom w:type="dxa" w:w="60"/>
              <w:right w:type="dxa" w:w="80"/>
            </w:tcMar>
          </w:tcPr>
          <w:p>
            <w:pPr>
              <w:keepNext/>
              <w:jc w:val="left"/>
            </w:pPr>
            <w:r>
              <w:rPr>
                <w:b w:val="false"/>
                <w:bCs w:val="false"/>
                <w:sz w:val="18"/>
                <w:szCs w:val="18"/>
              </w:rPr>
              <w:t xml:space="preserve"/>
            </w:r>
          </w:p>
        </w:tc>
        <w:tc>
          <w:tcPr>
            <w:tcW w:type="dxa" w:w="22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900"/>
            <w:tcMar>
              <w:top w:type="dxa" w:w="60"/>
              <w:left w:type="dxa" w:w="80"/>
              <w:bottom w:type="dxa" w:w="60"/>
              <w:right w:type="dxa" w:w="80"/>
            </w:tcMar>
          </w:tcPr>
          <w:p>
            <w:pPr>
              <w:keepNext/>
              <w:jc w:val="left"/>
            </w:pPr>
            <w:r>
              <w:rPr>
                <w:b w:val="false"/>
                <w:bCs w:val="false"/>
                <w:sz w:val="18"/>
                <w:szCs w:val="18"/>
              </w:rPr>
              <w:t xml:space="preserve">Administrative — limit time, numbers exposed, signage, hygiene</w:t>
            </w:r>
          </w:p>
        </w:tc>
        <w:tc>
          <w:tcPr>
            <w:tcW w:type="dxa" w:w="4806"/>
            <w:tcMar>
              <w:top w:type="dxa" w:w="60"/>
              <w:left w:type="dxa" w:w="80"/>
              <w:bottom w:type="dxa" w:w="60"/>
              <w:right w:type="dxa" w:w="80"/>
            </w:tcMar>
          </w:tcPr>
          <w:p>
            <w:pPr>
              <w:keepNext/>
              <w:jc w:val="left"/>
            </w:pPr>
            <w:r>
              <w:rPr>
                <w:b w:val="false"/>
                <w:bCs w:val="false"/>
                <w:sz w:val="18"/>
                <w:szCs w:val="18"/>
              </w:rPr>
              <w:t xml:space="preserve"/>
            </w:r>
          </w:p>
        </w:tc>
        <w:tc>
          <w:tcPr>
            <w:tcW w:type="dxa" w:w="22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900"/>
            <w:tcMar>
              <w:top w:type="dxa" w:w="60"/>
              <w:left w:type="dxa" w:w="80"/>
              <w:bottom w:type="dxa" w:w="60"/>
              <w:right w:type="dxa" w:w="80"/>
            </w:tcMar>
          </w:tcPr>
          <w:p>
            <w:pPr>
              <w:keepNext w:val="false"/>
              <w:jc w:val="left"/>
            </w:pPr>
            <w:r>
              <w:rPr>
                <w:b w:val="false"/>
                <w:bCs w:val="false"/>
                <w:sz w:val="18"/>
                <w:szCs w:val="18"/>
              </w:rPr>
              <w:t xml:space="preserve">PPE / RPE — type, standard, face-fit testing</w:t>
            </w:r>
          </w:p>
        </w:tc>
        <w:tc>
          <w:tcPr>
            <w:tcW w:type="dxa" w:w="4806"/>
            <w:tcMar>
              <w:top w:type="dxa" w:w="60"/>
              <w:left w:type="dxa" w:w="80"/>
              <w:bottom w:type="dxa" w:w="60"/>
              <w:right w:type="dxa" w:w="80"/>
            </w:tcMar>
          </w:tcPr>
          <w:p>
            <w:pPr>
              <w:keepNext w:val="false"/>
              <w:jc w:val="left"/>
            </w:pPr>
            <w:r>
              <w:rPr>
                <w:b w:val="false"/>
                <w:bCs w:val="false"/>
                <w:sz w:val="18"/>
                <w:szCs w:val="18"/>
              </w:rPr>
              <w:t xml:space="preserve"/>
            </w:r>
          </w:p>
        </w:tc>
        <w:tc>
          <w:tcPr>
            <w:tcW w:type="dxa" w:w="22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5. Risk rating</w:t>
      </w:r>
    </w:p>
    <w:p>
      <w:pPr>
        <w:keepNext/>
        <w:spacing w:after="80"/>
      </w:pPr>
      <w:r>
        <w:rPr>
          <w:sz w:val="20"/>
          <w:szCs w:val="20"/>
        </w:rPr>
        <w:t xml:space="preserve">Likelihood: 1 Very unlikely · 2 Unlikely · 3 Possible · 4 Likely · 5 Very likely</w:t>
      </w:r>
    </w:p>
    <w:p>
      <w:pPr>
        <w:keepNext/>
        <w:spacing w:after="80"/>
      </w:pPr>
      <w:r>
        <w:rPr>
          <w:sz w:val="20"/>
          <w:szCs w:val="20"/>
        </w:rPr>
        <w:t xml:space="preserve">Severity: 1 Negligible · 2 Minor injury · 3 Injury requiring time off · 4 Major injury · 5 Fatality</w:t>
      </w:r>
    </w:p>
    <w:p>
      <w:pPr>
        <w:keepNext/>
        <w:spacing w:after="120"/>
      </w:pPr>
      <w:r>
        <w:rPr>
          <w:sz w:val="20"/>
          <w:szCs w:val="20"/>
        </w:rPr>
        <w:t xml:space="preserve">Rating bands: 1–4 Low (acceptable, monitor) · 5–12 Medium (reduce where reasonably practicable) · 15–25 High (do not start until reduced)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406"/>
        <w:gridCol w:w="1500"/>
        <w:gridCol w:w="1500"/>
        <w:gridCol w:w="3500"/>
      </w:tblGrid>
      <w:tr>
        <w:trPr>
          <w:cantSplit/>
          <w:tblHeader/>
        </w:trPr>
        <w:tc>
          <w:tcPr>
            <w:tcW w:type="dxa" w:w="3406"/>
            <w:shd w:fill="D9D9D9" w:color="auto" w:val="clear"/>
            <w:tcMar>
              <w:top w:type="dxa" w:w="60"/>
              <w:left w:type="dxa" w:w="80"/>
              <w:bottom w:type="dxa" w:w="60"/>
              <w:right w:type="dxa" w:w="80"/>
            </w:tcMar>
          </w:tcPr>
          <w:p>
            <w:pPr>
              <w:keepNext/>
              <w:jc w:val="left"/>
            </w:pPr>
            <w:r>
              <w:rPr>
                <w:b/>
                <w:bCs/>
                <w:sz w:val="18"/>
                <w:szCs w:val="18"/>
              </w:rPr>
              <w:t xml:space="preserve"/>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Likelihood (1–5)</w:t>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Severity (1–5)</w:t>
            </w:r>
          </w:p>
        </w:tc>
        <w:tc>
          <w:tcPr>
            <w:tcW w:type="dxa" w:w="3500"/>
            <w:shd w:fill="D9D9D9" w:color="auto" w:val="clear"/>
            <w:tcMar>
              <w:top w:type="dxa" w:w="60"/>
              <w:left w:type="dxa" w:w="80"/>
              <w:bottom w:type="dxa" w:w="60"/>
              <w:right w:type="dxa" w:w="80"/>
            </w:tcMar>
          </w:tcPr>
          <w:p>
            <w:pPr>
              <w:keepNext/>
              <w:jc w:val="left"/>
            </w:pPr>
            <w:r>
              <w:rPr>
                <w:b/>
                <w:bCs/>
                <w:sz w:val="18"/>
                <w:szCs w:val="18"/>
              </w:rPr>
              <w:t xml:space="preserve">Rating (L × S)</w:t>
            </w:r>
          </w:p>
        </w:tc>
      </w:tr>
      <w:tr>
        <w:trPr>
          <w:cantSplit/>
          <w:tblHeader w:val="false"/>
        </w:trPr>
        <w:tc>
          <w:tcPr>
            <w:tcW w:type="dxa" w:w="3406"/>
            <w:tcMar>
              <w:top w:type="dxa" w:w="60"/>
              <w:left w:type="dxa" w:w="80"/>
              <w:bottom w:type="dxa" w:w="60"/>
              <w:right w:type="dxa" w:w="80"/>
            </w:tcMar>
          </w:tcPr>
          <w:p>
            <w:pPr>
              <w:keepNext/>
              <w:jc w:val="left"/>
            </w:pPr>
            <w:r>
              <w:rPr>
                <w:b w:val="false"/>
                <w:bCs w:val="false"/>
                <w:sz w:val="18"/>
                <w:szCs w:val="18"/>
              </w:rPr>
              <w:t xml:space="preserve">Before controls</w:t>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3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406"/>
            <w:tcMar>
              <w:top w:type="dxa" w:w="60"/>
              <w:left w:type="dxa" w:w="80"/>
              <w:bottom w:type="dxa" w:w="60"/>
              <w:right w:type="dxa" w:w="80"/>
            </w:tcMar>
          </w:tcPr>
          <w:p>
            <w:pPr>
              <w:keepNext w:val="false"/>
              <w:jc w:val="left"/>
            </w:pPr>
            <w:r>
              <w:rPr>
                <w:b w:val="false"/>
                <w:bCs w:val="false"/>
                <w:sz w:val="18"/>
                <w:szCs w:val="18"/>
              </w:rPr>
              <w:t xml:space="preserve">After controls</w:t>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c>
          <w:tcPr>
            <w:tcW w:type="dxa" w:w="35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6. Storage and handling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Storage location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Incompatible substances kept apart</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Maximum quantity stored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Containers labelled</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7. Spills and disposal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Spill procedure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Spill kit location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Waste disposal route (SDS section 13)</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8. First aid and emergency (SDS sections 4 and 5)</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Eye contact</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Skin contact</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Breathed in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Swallowed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Fire / firefighting</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Emergency contact (name, phone)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9. Monitoring and health surveillance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Air monitoring needed? (yes / no, details)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Health surveillance needed? (yes / no, type)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Local exhaust ventilation — last thorough examination date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Next examination due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10. Information, instruction and training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500"/>
        <w:gridCol w:w="3406"/>
        <w:gridCol w:w="3000"/>
      </w:tblGrid>
      <w:tr>
        <w:trPr>
          <w:cantSplit/>
          <w:tblHeader/>
        </w:trPr>
        <w:tc>
          <w:tcPr>
            <w:tcW w:type="dxa" w:w="3500"/>
            <w:shd w:fill="D9D9D9" w:color="auto" w:val="clear"/>
            <w:tcMar>
              <w:top w:type="dxa" w:w="60"/>
              <w:left w:type="dxa" w:w="80"/>
              <w:bottom w:type="dxa" w:w="60"/>
              <w:right w:type="dxa" w:w="80"/>
            </w:tcMar>
          </w:tcPr>
          <w:p>
            <w:pPr>
              <w:keepNext/>
              <w:jc w:val="left"/>
            </w:pPr>
            <w:r>
              <w:rPr>
                <w:b/>
                <w:bCs/>
                <w:sz w:val="18"/>
                <w:szCs w:val="18"/>
              </w:rPr>
              <w:t xml:space="preserve">Who</w:t>
            </w:r>
          </w:p>
        </w:tc>
        <w:tc>
          <w:tcPr>
            <w:tcW w:type="dxa" w:w="3406"/>
            <w:shd w:fill="D9D9D9" w:color="auto" w:val="clear"/>
            <w:tcMar>
              <w:top w:type="dxa" w:w="60"/>
              <w:left w:type="dxa" w:w="80"/>
              <w:bottom w:type="dxa" w:w="60"/>
              <w:right w:type="dxa" w:w="80"/>
            </w:tcMar>
          </w:tcPr>
          <w:p>
            <w:pPr>
              <w:keepNext/>
              <w:jc w:val="left"/>
            </w:pPr>
            <w:r>
              <w:rPr>
                <w:b/>
                <w:bCs/>
                <w:sz w:val="18"/>
                <w:szCs w:val="18"/>
              </w:rPr>
              <w:t xml:space="preserve">Training given</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Date</w:t>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val="false"/>
              <w:jc w:val="left"/>
            </w:pPr>
            <w:r>
              <w:rPr>
                <w:b w:val="false"/>
                <w:bCs w:val="false"/>
                <w:sz w:val="18"/>
                <w:szCs w:val="18"/>
              </w:rPr>
              <w:t xml:space="preserve"/>
            </w:r>
          </w:p>
        </w:tc>
        <w:tc>
          <w:tcPr>
            <w:tcW w:type="dxa" w:w="3406"/>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11. Briefing record</w:t>
      </w:r>
    </w:p>
    <w:p>
      <w:pPr>
        <w:keepNext/>
        <w:spacing w:after="80"/>
      </w:pPr>
      <w:r>
        <w:rPr>
          <w:sz w:val="20"/>
          <w:szCs w:val="20"/>
        </w:rPr>
        <w:t xml:space="preserve">I confirm this COSHH assessment has been explained to me, I understand it, and I will work in line with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000"/>
        <w:gridCol w:w="2706"/>
        <w:gridCol w:w="2400"/>
        <w:gridCol w:w="1800"/>
      </w:tblGrid>
      <w:tr>
        <w:trPr>
          <w:cantSplit/>
          <w:tblHeader/>
        </w:trPr>
        <w:tc>
          <w:tcPr>
            <w:tcW w:type="dxa" w:w="3000"/>
            <w:shd w:fill="D9D9D9" w:color="auto" w:val="clear"/>
            <w:tcMar>
              <w:top w:type="dxa" w:w="60"/>
              <w:left w:type="dxa" w:w="80"/>
              <w:bottom w:type="dxa" w:w="60"/>
              <w:right w:type="dxa" w:w="80"/>
            </w:tcMar>
          </w:tcPr>
          <w:p>
            <w:pPr>
              <w:keepNext/>
              <w:jc w:val="left"/>
            </w:pPr>
            <w:r>
              <w:rPr>
                <w:b/>
                <w:bCs/>
                <w:sz w:val="18"/>
                <w:szCs w:val="18"/>
              </w:rPr>
              <w:t xml:space="preserve">Name</w:t>
            </w:r>
          </w:p>
        </w:tc>
        <w:tc>
          <w:tcPr>
            <w:tcW w:type="dxa" w:w="2706"/>
            <w:shd w:fill="D9D9D9" w:color="auto" w:val="clear"/>
            <w:tcMar>
              <w:top w:type="dxa" w:w="60"/>
              <w:left w:type="dxa" w:w="80"/>
              <w:bottom w:type="dxa" w:w="60"/>
              <w:right w:type="dxa" w:w="80"/>
            </w:tcMar>
          </w:tcPr>
          <w:p>
            <w:pPr>
              <w:keepNext/>
              <w:jc w:val="left"/>
            </w:pPr>
            <w:r>
              <w:rPr>
                <w:b/>
                <w:bCs/>
                <w:sz w:val="18"/>
                <w:szCs w:val="18"/>
              </w:rPr>
              <w:t xml:space="preserve">Company</w:t>
            </w:r>
          </w:p>
        </w:tc>
        <w:tc>
          <w:tcPr>
            <w:tcW w:type="dxa" w:w="2400"/>
            <w:shd w:fill="D9D9D9" w:color="auto" w:val="clear"/>
            <w:tcMar>
              <w:top w:type="dxa" w:w="60"/>
              <w:left w:type="dxa" w:w="80"/>
              <w:bottom w:type="dxa" w:w="60"/>
              <w:right w:type="dxa" w:w="80"/>
            </w:tcMar>
          </w:tcPr>
          <w:p>
            <w:pPr>
              <w:keepNext/>
              <w:jc w:val="left"/>
            </w:pPr>
            <w:r>
              <w:rPr>
                <w:b/>
                <w:bCs/>
                <w:sz w:val="18"/>
                <w:szCs w:val="18"/>
              </w:rPr>
              <w:t xml:space="preserve">Signature</w:t>
            </w:r>
          </w:p>
        </w:tc>
        <w:tc>
          <w:tcPr>
            <w:tcW w:type="dxa" w:w="1800"/>
            <w:shd w:fill="D9D9D9" w:color="auto" w:val="clear"/>
            <w:tcMar>
              <w:top w:type="dxa" w:w="60"/>
              <w:left w:type="dxa" w:w="80"/>
              <w:bottom w:type="dxa" w:w="60"/>
              <w:right w:type="dxa" w:w="80"/>
            </w:tcMar>
          </w:tcPr>
          <w:p>
            <w:pPr>
              <w:keepNext/>
              <w:jc w:val="left"/>
            </w:pPr>
            <w:r>
              <w:rPr>
                <w:b/>
                <w:bCs/>
                <w:sz w:val="18"/>
                <w:szCs w:val="18"/>
              </w:rPr>
              <w:t xml:space="preserve">Date</w:t>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val="false"/>
              <w:jc w:val="left"/>
            </w:pPr>
            <w:r>
              <w:rPr>
                <w:b w:val="false"/>
                <w:bCs w:val="false"/>
                <w:sz w:val="18"/>
                <w:szCs w:val="18"/>
              </w:rPr>
              <w:t xml:space="preserve"/>
            </w:r>
          </w:p>
        </w:tc>
        <w:tc>
          <w:tcPr>
            <w:tcW w:type="dxa" w:w="2706"/>
            <w:tcMar>
              <w:top w:type="dxa" w:w="60"/>
              <w:left w:type="dxa" w:w="80"/>
              <w:bottom w:type="dxa" w:w="60"/>
              <w:right w:type="dxa" w:w="80"/>
            </w:tcMar>
          </w:tcPr>
          <w:p>
            <w:pPr>
              <w:keepNext w:val="false"/>
              <w:jc w:val="left"/>
            </w:pPr>
            <w:r>
              <w:rPr>
                <w:b w:val="false"/>
                <w:bCs w:val="false"/>
                <w:sz w:val="18"/>
                <w:szCs w:val="18"/>
              </w:rPr>
              <w:t xml:space="preserve"/>
            </w:r>
          </w:p>
        </w:tc>
        <w:tc>
          <w:tcPr>
            <w:tcW w:type="dxa" w:w="2400"/>
            <w:tcMar>
              <w:top w:type="dxa" w:w="60"/>
              <w:left w:type="dxa" w:w="80"/>
              <w:bottom w:type="dxa" w:w="60"/>
              <w:right w:type="dxa" w:w="80"/>
            </w:tcMar>
          </w:tcPr>
          <w:p>
            <w:pPr>
              <w:keepNext w:val="false"/>
              <w:jc w:val="left"/>
            </w:pPr>
            <w:r>
              <w:rPr>
                <w:b w:val="false"/>
                <w:bCs w:val="false"/>
                <w:sz w:val="18"/>
                <w:szCs w:val="18"/>
              </w:rPr>
              <w:t xml:space="preserve"/>
            </w:r>
          </w:p>
        </w:tc>
        <w:tc>
          <w:tcPr>
            <w:tcW w:type="dxa" w:w="1800"/>
            <w:tcMar>
              <w:top w:type="dxa" w:w="60"/>
              <w:left w:type="dxa" w:w="80"/>
              <w:bottom w:type="dxa" w:w="60"/>
              <w:right w:type="dxa" w:w="80"/>
            </w:tcMar>
          </w:tcPr>
          <w:p>
            <w:pPr>
              <w:keepNext w:val="false"/>
              <w:jc w:val="left"/>
            </w:pPr>
            <w:r>
              <w:rPr>
                <w:b w:val="false"/>
                <w:bCs w:val="false"/>
                <w:sz w:val="18"/>
                <w:szCs w:val="18"/>
              </w:rPr>
              <w:t xml:space="preserve"/>
            </w:r>
          </w:p>
        </w:tc>
      </w:tr>
    </w:tbl>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COSHH assessment — page </w:t>
    </w:r>
    <w:r>
      <w:rPr>
        <w:sz w:val="16"/>
        <w:szCs w:val="16"/>
      </w:rPr>
      <w:fldChar w:fldCharType="begin"/>
      <w:instrText xml:space="preserve">PAGE</w:instrText>
      <w:fldChar w:fldCharType="separate"/>
      <w:fldChar w:fldCharType="end"/>
    </w:r>
  </w:p>
  <w:p>
    <w:pPr>
      <w:jc w:val="center"/>
    </w:pPr>
    <w:r>
      <w:rPr>
        <w:color w:val="777777"/>
        <w:sz w:val="14"/>
        <w:szCs w:val="14"/>
      </w:rPr>
      <w:t xml:space="preserve">Free template from ComplySimple (complysimple.co.uk), a trading name of Edwards Bros (Spaldwick) Ltd. Free to use for your own work; not for resale.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2026-10-03T13:12:27.304Z</dcterms:created>
  <dcterms:modified xsi:type="dcterms:W3CDTF">2026-10-03T13:12:27.304Z</dcterms:modified>
</cp:coreProperties>
</file>

<file path=docProps/custom.xml><?xml version="1.0" encoding="utf-8"?>
<Properties xmlns="http://schemas.openxmlformats.org/officeDocument/2006/custom-properties" xmlns:vt="http://schemas.openxmlformats.org/officeDocument/2006/docPropsVTypes"/>
</file>